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F04" w:rsidRDefault="005C7F04" w:rsidP="005C7F04">
      <w:pPr>
        <w:spacing w:after="0" w:line="480" w:lineRule="auto"/>
        <w:rPr>
          <w:rFonts w:ascii="Times New Roman" w:hAnsi="Times New Roman" w:cs="Times New Roman"/>
          <w:sz w:val="24"/>
          <w:szCs w:val="24"/>
        </w:rPr>
      </w:pPr>
      <w:bookmarkStart w:id="0" w:name="_GoBack"/>
      <w:bookmarkEnd w:id="0"/>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jc w:val="center"/>
        <w:rPr>
          <w:rFonts w:ascii="Times New Roman" w:hAnsi="Times New Roman" w:cs="Times New Roman"/>
          <w:sz w:val="24"/>
          <w:szCs w:val="24"/>
        </w:rPr>
      </w:pPr>
    </w:p>
    <w:p w:rsidR="005C7F04" w:rsidRPr="005C7F04" w:rsidRDefault="005C7F04" w:rsidP="005C7F04">
      <w:pPr>
        <w:spacing w:after="0" w:line="480" w:lineRule="auto"/>
        <w:jc w:val="center"/>
        <w:rPr>
          <w:rFonts w:ascii="Times New Roman" w:hAnsi="Times New Roman" w:cs="Times New Roman"/>
          <w:sz w:val="24"/>
          <w:szCs w:val="24"/>
        </w:rPr>
      </w:pPr>
      <w:r w:rsidRPr="005C7F04">
        <w:rPr>
          <w:rFonts w:ascii="Times New Roman" w:hAnsi="Times New Roman" w:cs="Times New Roman"/>
          <w:sz w:val="24"/>
          <w:szCs w:val="24"/>
        </w:rPr>
        <w:t>Social Movement Theory and Movie Reflection</w:t>
      </w:r>
    </w:p>
    <w:p w:rsidR="005C7F04" w:rsidRDefault="005C7F04" w:rsidP="005C7F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7F04" w:rsidRDefault="005C7F04" w:rsidP="005C7F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7F04" w:rsidRDefault="005C7F04" w:rsidP="005C7F04">
      <w:pPr>
        <w:spacing w:after="0" w:line="480" w:lineRule="auto"/>
        <w:jc w:val="center"/>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Pr="005C7F04" w:rsidRDefault="005C7F04" w:rsidP="005C7F04">
      <w:pPr>
        <w:spacing w:after="0" w:line="480" w:lineRule="auto"/>
        <w:jc w:val="center"/>
        <w:rPr>
          <w:rFonts w:ascii="Times New Roman" w:hAnsi="Times New Roman" w:cs="Times New Roman"/>
          <w:sz w:val="24"/>
          <w:szCs w:val="24"/>
        </w:rPr>
      </w:pPr>
      <w:r w:rsidRPr="005C7F04">
        <w:rPr>
          <w:rFonts w:ascii="Times New Roman" w:hAnsi="Times New Roman" w:cs="Times New Roman"/>
          <w:sz w:val="24"/>
          <w:szCs w:val="24"/>
        </w:rPr>
        <w:lastRenderedPageBreak/>
        <w:t>Social Movement Theory and Movie Reflection</w:t>
      </w:r>
    </w:p>
    <w:p w:rsidR="005C7F04"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The economic difficulties in the 1930s fundamentally influenced the establishment of social and labor movements. The economic situation in the 1930s was characterized by depths of depression, which posed a threat to future organized labor. As a result, various labor unions reduced compared to years before. Analysis of social movements and social movement organizations, through resource mobilization theory, can help understand the link between the frustrations or the complaints of the labor movements in the 1930s as well as the activities that resulted in the movement decline during this period. This essay explores the factors that shaped the U.S. Labor Movement in the 1930s as reflected in the social clashes surrounding the 1927 off-stage performance of the film “The Cradle Will Rock.”</w:t>
      </w:r>
    </w:p>
    <w:p w:rsidR="005C7F04" w:rsidRPr="005C7F04" w:rsidRDefault="005C7F04" w:rsidP="005C7F04">
      <w:pPr>
        <w:spacing w:after="0" w:line="480" w:lineRule="auto"/>
        <w:jc w:val="center"/>
        <w:rPr>
          <w:rFonts w:ascii="Times New Roman" w:hAnsi="Times New Roman" w:cs="Times New Roman"/>
          <w:b/>
          <w:sz w:val="24"/>
          <w:szCs w:val="24"/>
        </w:rPr>
      </w:pPr>
      <w:r w:rsidRPr="005C7F04">
        <w:rPr>
          <w:rFonts w:ascii="Times New Roman" w:hAnsi="Times New Roman" w:cs="Times New Roman"/>
          <w:b/>
          <w:sz w:val="24"/>
          <w:szCs w:val="24"/>
        </w:rPr>
        <w:t>Resource Mobilization Theory</w:t>
      </w:r>
    </w:p>
    <w:p w:rsidR="005C7F04"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 xml:space="preserve">Resource Mobilization Theory is one of the perspectives that can be used to understand the social movement’s concepts. </w:t>
      </w:r>
      <w:r w:rsidR="00AE7253">
        <w:rPr>
          <w:rFonts w:ascii="Times New Roman" w:hAnsi="Times New Roman" w:cs="Times New Roman"/>
          <w:sz w:val="24"/>
          <w:szCs w:val="24"/>
        </w:rPr>
        <w:t xml:space="preserve">I selected this theory because I understand it better than the other two perspectives of social movements. </w:t>
      </w:r>
      <w:r w:rsidRPr="005C7F04">
        <w:rPr>
          <w:rFonts w:ascii="Times New Roman" w:hAnsi="Times New Roman" w:cs="Times New Roman"/>
          <w:sz w:val="24"/>
          <w:szCs w:val="24"/>
        </w:rPr>
        <w:t xml:space="preserve">According to Crossman (2019), resource mobilization theory explains how the success of social movements depends on the resources available and the ability to utilize them effectively. McCarthy and Zald (1977), in their analysis of resource mobilization theory perspective, explain that this new approach to understanding the social movements has raised some significant and serious questions that concerned the social movement leaders as well as the practical theorists. According to the authors, this new approach deals with “dynamics and tactics of social movement growth, decline and change” (McCarthy &amp; Zald, 1977, p. 1213). As such the resource mobilization approach focuses on the societal support and constraints associated with the social movement concept. It examines how various resources can be mobilized as well as links the social movements to other groups (McCarthy &amp; Zald, </w:t>
      </w:r>
      <w:r w:rsidRPr="005C7F04">
        <w:rPr>
          <w:rFonts w:ascii="Times New Roman" w:hAnsi="Times New Roman" w:cs="Times New Roman"/>
          <w:sz w:val="24"/>
          <w:szCs w:val="24"/>
        </w:rPr>
        <w:lastRenderedPageBreak/>
        <w:t>1977). Crossman (2019) explains that since its emergence, resource mobilization theory has offered a breakthrough in the study of social movements because it emphasizes the sociological factors rather than the psychological factors. Therefore, it has offered a new perspective into social movement; for instance, social movements are no longer viewed as irrational, emotional, or disorganized (Crossman, 2019). As McCarthy and Zald (1977) explain, in resource mobilization, society provides the infrastructure which the industries utilize to realize success. Some of the aspects of utilizing include communication media and expense, degree of access to the institutional centers, occupational structure, and growth (McCarthy &amp; Zald, 1977).</w:t>
      </w:r>
    </w:p>
    <w:p w:rsidR="005C7F04"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The labor union movements in the 1930s were influenced and shaped by various factors including the harsh economic situation created by the economic depression. The unions had failed in the past previous years and the number was declining. Despite the decline in the number of labor unions prior to the 1930s, the tremendous gains were realized later after the 1930s. However, the period of the 1930s was very fundamental to the labor movements in the United States. The depressions in the 1930s made it difficult for the working class to survive as the unemployment rate soared, especially in the early 1930s (Gregory, 2009). According to Gregory (2009), even before the economic recovery time, there were signs of labor unions building up. Gregory (2009) asserts that the great depression significantly shaped the emergence of more labor unions in the United States because it was the time that most activities were witnessed. For example, it is this period that successful strikes and soaring social idealism became intense (Gregory, 2009).</w:t>
      </w:r>
    </w:p>
    <w:p w:rsidR="005C7F04" w:rsidRPr="005C7F04" w:rsidRDefault="005C7F04" w:rsidP="005C7F04">
      <w:pPr>
        <w:spacing w:after="0" w:line="480" w:lineRule="auto"/>
        <w:jc w:val="center"/>
        <w:rPr>
          <w:rFonts w:ascii="Times New Roman" w:hAnsi="Times New Roman" w:cs="Times New Roman"/>
          <w:b/>
          <w:sz w:val="24"/>
          <w:szCs w:val="24"/>
        </w:rPr>
      </w:pPr>
      <w:r w:rsidRPr="005C7F04">
        <w:rPr>
          <w:rFonts w:ascii="Times New Roman" w:hAnsi="Times New Roman" w:cs="Times New Roman"/>
          <w:b/>
          <w:sz w:val="24"/>
          <w:szCs w:val="24"/>
        </w:rPr>
        <w:t>Reflection on the Movie</w:t>
      </w:r>
    </w:p>
    <w:p w:rsid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 xml:space="preserve">Tim Robbins’ film “Cradle Will Rock” produced in 1999 depicts the economic situation in the United States in the 1930s and how the working class helped shape the economic situation </w:t>
      </w:r>
      <w:r w:rsidRPr="005C7F04">
        <w:rPr>
          <w:rFonts w:ascii="Times New Roman" w:hAnsi="Times New Roman" w:cs="Times New Roman"/>
          <w:sz w:val="24"/>
          <w:szCs w:val="24"/>
        </w:rPr>
        <w:lastRenderedPageBreak/>
        <w:t xml:space="preserve">during the depression era. Robins successfully and brilliantly portrays the struggling of the working class and their powerful discourse attempt to sway the economic forces that were oppressing their lives. According to Ross (2019), this film fictionalizes the real-life characters and events from the 1930s. It also focuses on the re-imagined, coherent unity of forces as well as significant events that emerged against the capitalistic hegemony that was slowly taking over American society. </w:t>
      </w:r>
    </w:p>
    <w:p w:rsidR="005C7F04"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According to Gregory (2009), towards the beginning of 1919, some of the unions like the Seattle unions started to receive international attention after declaring a strike that closed down the city for about five days. However, it also affected the unions’ performance because between 1929 and 1933, there was a significant decline in the number of labor movements or unions in the United States. The beginning of 1934 was different because the unions started rising again with more vehement force from the working class to oppose the capitalist system and oppression of the upper class. The film “Cradle Will Rock” reveals how the working-class aesthetic emerged to control the oppositional forces that wanted to silence their voices. According to Ross (2019), “Cradle Will Rock” portrays how the artwork was used by the working class to resist the misdirection of the masses by instigating and sustaining awareness on the oppressive political-ideological processes in the 1930s. The “Cradle Will Rock” depicts how a sense of collective unity and agitation of the working class is not praxis (Ross, 2019). The film depicts the corruption, hypocrisy, conformism, and prostitution associated with the capitalist system.</w:t>
      </w:r>
    </w:p>
    <w:p w:rsidR="005C7F04"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 xml:space="preserve">Ross (2019) describes Blitzstein’s play “Cradle Will Rock” as dangerous not because it points out the massive corruption and exploitation of the working class, but because it depicts how the working class can fight back the oppression through unions and labor movements. In the film, the playwright and a cast, Blitzstein is working on his new musical play but he lacks the </w:t>
      </w:r>
      <w:r w:rsidRPr="005C7F04">
        <w:rPr>
          <w:rFonts w:ascii="Times New Roman" w:hAnsi="Times New Roman" w:cs="Times New Roman"/>
          <w:sz w:val="24"/>
          <w:szCs w:val="24"/>
        </w:rPr>
        <w:lastRenderedPageBreak/>
        <w:t>inspiration to complete it because of the situation. As he attends the public protest, he encounters two imaginary figures that represent his late wife and famed German playwright, Bertolt Brecht. The two figures inspire and motivate him to complete the play, but try to make it relevant to the issues and concerns that affected the society at the time. Meanwhile, the situation keeps getting worse as the Federal Theatre Project faces pressure from the federal government. From the resource mobilization perspective, the film “Cradle Will Rock” proves to be a threat to the capitalist system because of the ability of the working class to reunite to face a common problem that was exploiting and oppressing them. Ross (2019) explains that Blitzstein’s play is dangerous because of its dialectical elements of “reuniting of work and culture, manual and mental labor” (p. 8). In his illustration of the film’s dialectical elements, Ross (2019) further asserts that the play brilliantly presents the laboring of the American culture through various mechanisms including permeation of a worker's sensibility. According to Ross (2019), the film depicts the working class struggle, presented through the artists and actors who represent the working class in the film.</w:t>
      </w:r>
    </w:p>
    <w:p w:rsidR="005C7F04"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t>Robbins further depicts the powerful wave of the working class that comes to the collective call of unionism. According to Ross (2019), Blitzstein’s play portrays the real power that collective solidarity possesses and how it can be used against the oppressive political systems. In the film, this power is demonstrated when performers and audience together march towards the theatre. This massive protest forces Steel tycoon Gray Mathers to flee as he claims that revolution is upon him. This moment also echoes Mr. Mister’s panicking response as the collective power of the working class goes against him. These two moments are significant because they portray the power of resource mobilization and the power that it brings to the working class to break the tycoons who oppress and exploit them.</w:t>
      </w:r>
    </w:p>
    <w:p w:rsidR="00827EE1" w:rsidRPr="005C7F04" w:rsidRDefault="005C7F04" w:rsidP="005C7F04">
      <w:pPr>
        <w:spacing w:after="0" w:line="480" w:lineRule="auto"/>
        <w:ind w:firstLine="720"/>
        <w:rPr>
          <w:rFonts w:ascii="Times New Roman" w:hAnsi="Times New Roman" w:cs="Times New Roman"/>
          <w:sz w:val="24"/>
          <w:szCs w:val="24"/>
        </w:rPr>
      </w:pPr>
      <w:r w:rsidRPr="005C7F04">
        <w:rPr>
          <w:rFonts w:ascii="Times New Roman" w:hAnsi="Times New Roman" w:cs="Times New Roman"/>
          <w:sz w:val="24"/>
          <w:szCs w:val="24"/>
        </w:rPr>
        <w:lastRenderedPageBreak/>
        <w:t>In conclusion, this essay has explored the factors that shaped the labor movements in the 1930s and the resource mobilization perspective as well as a reflection on the film “Cradle Will Rock.” The findings have shown that despite the decline of the labor movements in the early 1930s, the economic depression in the mid-1930s created a platform for the movements to rise again. The high unemployment rate, oppression and exploitation of the working class by the wealthy led to an uprising against them by the working class as portrayed in “Cradle Will Rock” as the actors together with the audience marched towards the theatre. With the effective mobilization of the workers, the labor unionists managed to put an end to the injustices and exploitation brought about by the class war associated with the capitalist system.</w:t>
      </w: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5C7F04" w:rsidRDefault="005C7F04" w:rsidP="005C7F04">
      <w:pPr>
        <w:spacing w:after="0" w:line="480" w:lineRule="auto"/>
        <w:rPr>
          <w:rFonts w:ascii="Times New Roman" w:hAnsi="Times New Roman" w:cs="Times New Roman"/>
          <w:sz w:val="24"/>
          <w:szCs w:val="24"/>
        </w:rPr>
      </w:pPr>
    </w:p>
    <w:p w:rsidR="00827EE1" w:rsidRPr="005C7F04" w:rsidRDefault="00827EE1" w:rsidP="005C7F04">
      <w:pPr>
        <w:spacing w:after="0" w:line="480" w:lineRule="auto"/>
        <w:jc w:val="center"/>
        <w:rPr>
          <w:rFonts w:ascii="Times New Roman" w:hAnsi="Times New Roman" w:cs="Times New Roman"/>
          <w:sz w:val="24"/>
          <w:szCs w:val="24"/>
        </w:rPr>
      </w:pPr>
      <w:r w:rsidRPr="005C7F04">
        <w:rPr>
          <w:rFonts w:ascii="Times New Roman" w:hAnsi="Times New Roman" w:cs="Times New Roman"/>
          <w:sz w:val="24"/>
          <w:szCs w:val="24"/>
        </w:rPr>
        <w:lastRenderedPageBreak/>
        <w:t>References</w:t>
      </w:r>
    </w:p>
    <w:p w:rsidR="005C7F04" w:rsidRPr="0000790E" w:rsidRDefault="005C7F04" w:rsidP="005C7F04">
      <w:pPr>
        <w:spacing w:after="0" w:line="480" w:lineRule="auto"/>
        <w:ind w:left="720" w:hanging="720"/>
        <w:rPr>
          <w:rFonts w:ascii="Times New Roman" w:hAnsi="Times New Roman" w:cs="Times New Roman"/>
          <w:sz w:val="24"/>
          <w:szCs w:val="24"/>
        </w:rPr>
      </w:pPr>
      <w:r w:rsidRPr="0000790E">
        <w:rPr>
          <w:rFonts w:ascii="Times New Roman" w:hAnsi="Times New Roman" w:cs="Times New Roman"/>
          <w:sz w:val="24"/>
          <w:szCs w:val="24"/>
          <w:shd w:val="clear" w:color="auto" w:fill="FFFFFF"/>
        </w:rPr>
        <w:t xml:space="preserve">Crossman, A. (2019 March, 1). “What is the Resource Mobilization Theory.” </w:t>
      </w:r>
      <w:r w:rsidRPr="0000790E">
        <w:rPr>
          <w:rFonts w:ascii="Times New Roman" w:hAnsi="Times New Roman" w:cs="Times New Roman"/>
          <w:i/>
          <w:sz w:val="24"/>
          <w:szCs w:val="24"/>
          <w:shd w:val="clear" w:color="auto" w:fill="FFFFFF"/>
        </w:rPr>
        <w:t>ThoughtCo.</w:t>
      </w:r>
      <w:r w:rsidRPr="0000790E">
        <w:rPr>
          <w:rFonts w:ascii="Times New Roman" w:hAnsi="Times New Roman" w:cs="Times New Roman"/>
          <w:sz w:val="24"/>
          <w:szCs w:val="24"/>
          <w:shd w:val="clear" w:color="auto" w:fill="FFFFFF"/>
        </w:rPr>
        <w:t xml:space="preserve"> Retrieved from </w:t>
      </w:r>
      <w:hyperlink r:id="rId6" w:history="1">
        <w:r w:rsidRPr="0000790E">
          <w:rPr>
            <w:rStyle w:val="Hyperlink"/>
            <w:rFonts w:ascii="Times New Roman" w:hAnsi="Times New Roman" w:cs="Times New Roman"/>
            <w:color w:val="auto"/>
            <w:sz w:val="24"/>
            <w:szCs w:val="24"/>
            <w:u w:val="none"/>
          </w:rPr>
          <w:t>https://www.thoughtco.com/resource-mobilization-theory-3026523</w:t>
        </w:r>
      </w:hyperlink>
    </w:p>
    <w:p w:rsidR="005C7F04" w:rsidRPr="0000790E" w:rsidRDefault="005C7F04" w:rsidP="005C7F04">
      <w:pPr>
        <w:spacing w:after="0" w:line="480" w:lineRule="auto"/>
        <w:ind w:left="720" w:hanging="720"/>
        <w:rPr>
          <w:rFonts w:ascii="Times New Roman" w:hAnsi="Times New Roman" w:cs="Times New Roman"/>
          <w:sz w:val="24"/>
          <w:szCs w:val="24"/>
          <w:shd w:val="clear" w:color="auto" w:fill="FFFFFF"/>
        </w:rPr>
      </w:pPr>
      <w:r w:rsidRPr="0000790E">
        <w:rPr>
          <w:rFonts w:ascii="Times New Roman" w:hAnsi="Times New Roman" w:cs="Times New Roman"/>
          <w:sz w:val="24"/>
          <w:szCs w:val="24"/>
        </w:rPr>
        <w:t xml:space="preserve">Gregory, J. (2009). Strikes and Unions: The Great Depression in Washington. </w:t>
      </w:r>
      <w:r w:rsidRPr="0000790E">
        <w:rPr>
          <w:rFonts w:ascii="Times New Roman" w:hAnsi="Times New Roman" w:cs="Times New Roman"/>
          <w:i/>
          <w:sz w:val="24"/>
          <w:szCs w:val="24"/>
        </w:rPr>
        <w:t>University of Washington</w:t>
      </w:r>
      <w:r w:rsidRPr="0000790E">
        <w:rPr>
          <w:rFonts w:ascii="Times New Roman" w:hAnsi="Times New Roman" w:cs="Times New Roman"/>
          <w:sz w:val="24"/>
          <w:szCs w:val="24"/>
        </w:rPr>
        <w:t xml:space="preserve">. Retrieved from </w:t>
      </w:r>
      <w:hyperlink r:id="rId7" w:history="1">
        <w:r w:rsidRPr="0000790E">
          <w:rPr>
            <w:rStyle w:val="Hyperlink"/>
            <w:rFonts w:ascii="Times New Roman" w:hAnsi="Times New Roman" w:cs="Times New Roman"/>
            <w:color w:val="auto"/>
            <w:sz w:val="24"/>
            <w:szCs w:val="24"/>
            <w:u w:val="none"/>
          </w:rPr>
          <w:t>http://depts.washington.edu/depress/strikes_unions.shtml</w:t>
        </w:r>
      </w:hyperlink>
    </w:p>
    <w:p w:rsidR="005C7F04" w:rsidRPr="0000790E" w:rsidRDefault="005C7F04" w:rsidP="005C7F04">
      <w:pPr>
        <w:spacing w:after="0" w:line="480" w:lineRule="auto"/>
        <w:ind w:left="720" w:hanging="720"/>
        <w:rPr>
          <w:rFonts w:ascii="Times New Roman" w:hAnsi="Times New Roman" w:cs="Times New Roman"/>
          <w:sz w:val="24"/>
          <w:szCs w:val="24"/>
          <w:shd w:val="clear" w:color="auto" w:fill="FFFFFF"/>
        </w:rPr>
      </w:pPr>
      <w:r w:rsidRPr="0000790E">
        <w:rPr>
          <w:rFonts w:ascii="Times New Roman" w:hAnsi="Times New Roman" w:cs="Times New Roman"/>
          <w:sz w:val="24"/>
          <w:szCs w:val="24"/>
          <w:shd w:val="clear" w:color="auto" w:fill="FFFFFF"/>
        </w:rPr>
        <w:t>McCarthy, J. D., &amp; Zald, M. N. (1977). Resource mobilization and social movements: A partial theory. </w:t>
      </w:r>
      <w:r w:rsidRPr="0000790E">
        <w:rPr>
          <w:rFonts w:ascii="Times New Roman" w:hAnsi="Times New Roman" w:cs="Times New Roman"/>
          <w:i/>
          <w:iCs/>
          <w:sz w:val="24"/>
          <w:szCs w:val="24"/>
          <w:shd w:val="clear" w:color="auto" w:fill="FFFFFF"/>
        </w:rPr>
        <w:t>American journal of sociology</w:t>
      </w:r>
      <w:r w:rsidRPr="0000790E">
        <w:rPr>
          <w:rFonts w:ascii="Times New Roman" w:hAnsi="Times New Roman" w:cs="Times New Roman"/>
          <w:sz w:val="24"/>
          <w:szCs w:val="24"/>
          <w:shd w:val="clear" w:color="auto" w:fill="FFFFFF"/>
        </w:rPr>
        <w:t>, </w:t>
      </w:r>
      <w:r w:rsidRPr="0000790E">
        <w:rPr>
          <w:rFonts w:ascii="Times New Roman" w:hAnsi="Times New Roman" w:cs="Times New Roman"/>
          <w:i/>
          <w:iCs/>
          <w:sz w:val="24"/>
          <w:szCs w:val="24"/>
          <w:shd w:val="clear" w:color="auto" w:fill="FFFFFF"/>
        </w:rPr>
        <w:t>82</w:t>
      </w:r>
      <w:r w:rsidRPr="0000790E">
        <w:rPr>
          <w:rFonts w:ascii="Times New Roman" w:hAnsi="Times New Roman" w:cs="Times New Roman"/>
          <w:sz w:val="24"/>
          <w:szCs w:val="24"/>
          <w:shd w:val="clear" w:color="auto" w:fill="FFFFFF"/>
        </w:rPr>
        <w:t>(6), 1212-1241.</w:t>
      </w:r>
    </w:p>
    <w:p w:rsidR="005C7F04" w:rsidRPr="0000790E" w:rsidRDefault="005C7F04" w:rsidP="005C7F04">
      <w:pPr>
        <w:spacing w:after="0" w:line="480" w:lineRule="auto"/>
        <w:ind w:left="720" w:hanging="720"/>
        <w:rPr>
          <w:rFonts w:ascii="Times New Roman" w:hAnsi="Times New Roman" w:cs="Times New Roman"/>
          <w:sz w:val="24"/>
          <w:szCs w:val="24"/>
          <w:shd w:val="clear" w:color="auto" w:fill="FFFFFF"/>
        </w:rPr>
      </w:pPr>
      <w:r w:rsidRPr="0000790E">
        <w:rPr>
          <w:rFonts w:ascii="Times New Roman" w:hAnsi="Times New Roman" w:cs="Times New Roman"/>
          <w:sz w:val="24"/>
          <w:szCs w:val="24"/>
          <w:shd w:val="clear" w:color="auto" w:fill="FFFFFF"/>
        </w:rPr>
        <w:t xml:space="preserve">Ross, R. (2019 July, 8). “Recovering a Working Class Aesthetic: Rocking the Cradle of Power then and now in ‘Cradle Will Rock.’” </w:t>
      </w:r>
      <w:r w:rsidRPr="0000790E">
        <w:rPr>
          <w:rFonts w:ascii="Times New Roman" w:hAnsi="Times New Roman" w:cs="Times New Roman"/>
          <w:i/>
          <w:sz w:val="24"/>
          <w:szCs w:val="24"/>
          <w:shd w:val="clear" w:color="auto" w:fill="FFFFFF"/>
        </w:rPr>
        <w:t>Your Film Professor</w:t>
      </w:r>
      <w:r w:rsidRPr="0000790E">
        <w:rPr>
          <w:rFonts w:ascii="Times New Roman" w:hAnsi="Times New Roman" w:cs="Times New Roman"/>
          <w:sz w:val="24"/>
          <w:szCs w:val="24"/>
          <w:shd w:val="clear" w:color="auto" w:fill="FFFFFF"/>
        </w:rPr>
        <w:t xml:space="preserve">. Retrieved from </w:t>
      </w:r>
      <w:hyperlink r:id="rId8" w:history="1">
        <w:r w:rsidRPr="0000790E">
          <w:rPr>
            <w:rStyle w:val="Hyperlink"/>
            <w:rFonts w:ascii="Times New Roman" w:hAnsi="Times New Roman" w:cs="Times New Roman"/>
            <w:color w:val="auto"/>
            <w:sz w:val="24"/>
            <w:szCs w:val="24"/>
            <w:u w:val="none"/>
          </w:rPr>
          <w:t>http://www.yourfilmprofessor.com/recovering-a-working-class-aesthetic-rocking-the-cradle-of-power-then-and-now-in-cradle-will-rock/</w:t>
        </w:r>
      </w:hyperlink>
    </w:p>
    <w:p w:rsidR="005C7F04" w:rsidRPr="0000790E" w:rsidRDefault="005C7F04" w:rsidP="005C7F04">
      <w:pPr>
        <w:spacing w:after="0" w:line="480" w:lineRule="auto"/>
        <w:ind w:left="720" w:hanging="720"/>
        <w:rPr>
          <w:rFonts w:ascii="Times New Roman" w:hAnsi="Times New Roman" w:cs="Times New Roman"/>
          <w:sz w:val="24"/>
          <w:szCs w:val="24"/>
        </w:rPr>
      </w:pPr>
    </w:p>
    <w:p w:rsidR="00827EE1" w:rsidRPr="005C7F04" w:rsidRDefault="00827EE1" w:rsidP="005C7F04">
      <w:pPr>
        <w:spacing w:after="0" w:line="480" w:lineRule="auto"/>
        <w:rPr>
          <w:rFonts w:ascii="Times New Roman" w:hAnsi="Times New Roman" w:cs="Times New Roman"/>
          <w:sz w:val="24"/>
          <w:szCs w:val="24"/>
        </w:rPr>
      </w:pPr>
    </w:p>
    <w:sectPr w:rsidR="00827EE1" w:rsidRPr="005C7F04" w:rsidSect="005C7F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075" w:rsidRDefault="000F3075" w:rsidP="005C7F04">
      <w:pPr>
        <w:spacing w:after="0" w:line="240" w:lineRule="auto"/>
      </w:pPr>
      <w:r>
        <w:separator/>
      </w:r>
    </w:p>
  </w:endnote>
  <w:endnote w:type="continuationSeparator" w:id="0">
    <w:p w:rsidR="000F3075" w:rsidRDefault="000F3075" w:rsidP="005C7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075" w:rsidRDefault="000F3075" w:rsidP="005C7F04">
      <w:pPr>
        <w:spacing w:after="0" w:line="240" w:lineRule="auto"/>
      </w:pPr>
      <w:r>
        <w:separator/>
      </w:r>
    </w:p>
  </w:footnote>
  <w:footnote w:type="continuationSeparator" w:id="0">
    <w:p w:rsidR="000F3075" w:rsidRDefault="000F3075" w:rsidP="005C7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F04" w:rsidRDefault="005C7F04">
    <w:pPr>
      <w:pStyle w:val="Header"/>
    </w:pPr>
    <w:r w:rsidRPr="005C7F04">
      <w:rPr>
        <w:rFonts w:ascii="Times New Roman" w:hAnsi="Times New Roman" w:cs="Times New Roman"/>
        <w:sz w:val="24"/>
        <w:szCs w:val="24"/>
      </w:rPr>
      <w:t xml:space="preserve">SOCIAL MOVEMENT THEORY AND MOVIE REFLECTION </w:t>
    </w:r>
    <w:r w:rsidRPr="005C7F04">
      <w:rPr>
        <w:rFonts w:ascii="Times New Roman" w:hAnsi="Times New Roman" w:cs="Times New Roman"/>
        <w:sz w:val="24"/>
        <w:szCs w:val="24"/>
      </w:rPr>
      <w:tab/>
    </w:r>
    <w:r w:rsidRPr="005C7F04">
      <w:rPr>
        <w:rFonts w:ascii="Times New Roman" w:hAnsi="Times New Roman" w:cs="Times New Roman"/>
        <w:sz w:val="24"/>
        <w:szCs w:val="24"/>
      </w:rPr>
      <w:tab/>
    </w:r>
    <w:r w:rsidRPr="005C7F04">
      <w:rPr>
        <w:rFonts w:ascii="Times New Roman" w:hAnsi="Times New Roman" w:cs="Times New Roman"/>
        <w:sz w:val="24"/>
        <w:szCs w:val="24"/>
      </w:rPr>
      <w:fldChar w:fldCharType="begin"/>
    </w:r>
    <w:r w:rsidRPr="005C7F04">
      <w:rPr>
        <w:rFonts w:ascii="Times New Roman" w:hAnsi="Times New Roman" w:cs="Times New Roman"/>
        <w:sz w:val="24"/>
        <w:szCs w:val="24"/>
      </w:rPr>
      <w:instrText xml:space="preserve"> PAGE   \* MERGEFORMAT </w:instrText>
    </w:r>
    <w:r w:rsidRPr="005C7F04">
      <w:rPr>
        <w:rFonts w:ascii="Times New Roman" w:hAnsi="Times New Roman" w:cs="Times New Roman"/>
        <w:sz w:val="24"/>
        <w:szCs w:val="24"/>
      </w:rPr>
      <w:fldChar w:fldCharType="separate"/>
    </w:r>
    <w:r w:rsidR="00BD3566">
      <w:rPr>
        <w:rFonts w:ascii="Times New Roman" w:hAnsi="Times New Roman" w:cs="Times New Roman"/>
        <w:noProof/>
        <w:sz w:val="24"/>
        <w:szCs w:val="24"/>
      </w:rPr>
      <w:t>2</w:t>
    </w:r>
    <w:r w:rsidRPr="005C7F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F04" w:rsidRPr="005C7F04" w:rsidRDefault="005C7F04">
    <w:pPr>
      <w:pStyle w:val="Header"/>
      <w:rPr>
        <w:rFonts w:ascii="Times New Roman" w:hAnsi="Times New Roman" w:cs="Times New Roman"/>
        <w:sz w:val="24"/>
        <w:szCs w:val="24"/>
      </w:rPr>
    </w:pPr>
    <w:r w:rsidRPr="005C7F04">
      <w:rPr>
        <w:rFonts w:ascii="Times New Roman" w:hAnsi="Times New Roman" w:cs="Times New Roman"/>
        <w:sz w:val="24"/>
        <w:szCs w:val="24"/>
      </w:rPr>
      <w:t xml:space="preserve">Running head: SOCIAL MOVEMENT THEORY AND MOVIE REFLECTION </w:t>
    </w:r>
    <w:r w:rsidRPr="005C7F04">
      <w:rPr>
        <w:rFonts w:ascii="Times New Roman" w:hAnsi="Times New Roman" w:cs="Times New Roman"/>
        <w:sz w:val="24"/>
        <w:szCs w:val="24"/>
      </w:rPr>
      <w:tab/>
    </w:r>
    <w:r w:rsidRPr="005C7F04">
      <w:rPr>
        <w:rFonts w:ascii="Times New Roman" w:hAnsi="Times New Roman" w:cs="Times New Roman"/>
        <w:sz w:val="24"/>
        <w:szCs w:val="24"/>
      </w:rPr>
      <w:tab/>
    </w:r>
    <w:r w:rsidRPr="005C7F04">
      <w:rPr>
        <w:rFonts w:ascii="Times New Roman" w:hAnsi="Times New Roman" w:cs="Times New Roman"/>
        <w:sz w:val="24"/>
        <w:szCs w:val="24"/>
      </w:rPr>
      <w:fldChar w:fldCharType="begin"/>
    </w:r>
    <w:r w:rsidRPr="005C7F04">
      <w:rPr>
        <w:rFonts w:ascii="Times New Roman" w:hAnsi="Times New Roman" w:cs="Times New Roman"/>
        <w:sz w:val="24"/>
        <w:szCs w:val="24"/>
      </w:rPr>
      <w:instrText xml:space="preserve"> PAGE   \* MERGEFORMAT </w:instrText>
    </w:r>
    <w:r w:rsidRPr="005C7F04">
      <w:rPr>
        <w:rFonts w:ascii="Times New Roman" w:hAnsi="Times New Roman" w:cs="Times New Roman"/>
        <w:sz w:val="24"/>
        <w:szCs w:val="24"/>
      </w:rPr>
      <w:fldChar w:fldCharType="separate"/>
    </w:r>
    <w:r w:rsidR="00BD3566">
      <w:rPr>
        <w:rFonts w:ascii="Times New Roman" w:hAnsi="Times New Roman" w:cs="Times New Roman"/>
        <w:noProof/>
        <w:sz w:val="24"/>
        <w:szCs w:val="24"/>
      </w:rPr>
      <w:t>1</w:t>
    </w:r>
    <w:r w:rsidRPr="005C7F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5A8"/>
    <w:rsid w:val="00010958"/>
    <w:rsid w:val="000F3075"/>
    <w:rsid w:val="00415CD7"/>
    <w:rsid w:val="00470013"/>
    <w:rsid w:val="00472B20"/>
    <w:rsid w:val="005B1A3C"/>
    <w:rsid w:val="005C3C98"/>
    <w:rsid w:val="005C6B1C"/>
    <w:rsid w:val="005C7F04"/>
    <w:rsid w:val="00827EE1"/>
    <w:rsid w:val="008A15A8"/>
    <w:rsid w:val="009948FE"/>
    <w:rsid w:val="00A060A4"/>
    <w:rsid w:val="00AE7253"/>
    <w:rsid w:val="00BD3566"/>
    <w:rsid w:val="00F211A8"/>
    <w:rsid w:val="00F608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78F23-1D49-4E71-81E1-809968C3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F04"/>
  </w:style>
  <w:style w:type="paragraph" w:styleId="Footer">
    <w:name w:val="footer"/>
    <w:basedOn w:val="Normal"/>
    <w:link w:val="FooterChar"/>
    <w:uiPriority w:val="99"/>
    <w:unhideWhenUsed/>
    <w:rsid w:val="005C7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F04"/>
  </w:style>
  <w:style w:type="character" w:styleId="Hyperlink">
    <w:name w:val="Hyperlink"/>
    <w:basedOn w:val="DefaultParagraphFont"/>
    <w:uiPriority w:val="99"/>
    <w:semiHidden/>
    <w:unhideWhenUsed/>
    <w:rsid w:val="005C7F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rfilmprofessor.com/recovering-a-working-class-aesthetic-rocking-the-cradle-of-power-then-and-now-in-cradle-will-rock/" TargetMode="External"/><Relationship Id="rId3" Type="http://schemas.openxmlformats.org/officeDocument/2006/relationships/webSettings" Target="webSettings.xml"/><Relationship Id="rId7" Type="http://schemas.openxmlformats.org/officeDocument/2006/relationships/hyperlink" Target="http://depts.washington.edu/depress/strikes_unions.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resource-mobilization-theory-302652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2019-11-19T16:44:00Z</dcterms:created>
  <dcterms:modified xsi:type="dcterms:W3CDTF">2019-11-19T16:44:00Z</dcterms:modified>
</cp:coreProperties>
</file>